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212"/>
        <w:gridCol w:w="903"/>
        <w:gridCol w:w="3326"/>
        <w:gridCol w:w="57"/>
      </w:tblGrid>
      <w:tr w:rsidR="00742AE3" w:rsidRPr="00742AE3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742AE3" w:rsidRPr="00742AE3" w:rsidRDefault="00742AE3" w:rsidP="00742AE3">
            <w:bookmarkStart w:id="0" w:name="InsertLogo"/>
            <w:bookmarkStart w:id="1" w:name="dsg" w:colFirst="1" w:colLast="1"/>
            <w:bookmarkStart w:id="2" w:name="dtableau"/>
            <w:bookmarkEnd w:id="0"/>
            <w:r w:rsidRPr="00742AE3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3DC44797" wp14:editId="2DFB441F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742AE3" w:rsidRPr="00742AE3" w:rsidRDefault="00742AE3" w:rsidP="00742AE3">
            <w:pPr>
              <w:rPr>
                <w:sz w:val="20"/>
              </w:rPr>
            </w:pPr>
            <w:r w:rsidRPr="00742AE3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742AE3" w:rsidRPr="00742AE3" w:rsidRDefault="00742AE3" w:rsidP="00742AE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20 – LS 009 – E</w:t>
            </w:r>
          </w:p>
        </w:tc>
      </w:tr>
      <w:tr w:rsidR="00742AE3" w:rsidRPr="00742AE3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742AE3" w:rsidRPr="00742AE3" w:rsidRDefault="00742AE3" w:rsidP="00742AE3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40" w:type="dxa"/>
            <w:gridSpan w:val="4"/>
            <w:vMerge w:val="restart"/>
          </w:tcPr>
          <w:p w:rsidR="00742AE3" w:rsidRPr="00742AE3" w:rsidRDefault="00742AE3" w:rsidP="00742AE3">
            <w:pPr>
              <w:rPr>
                <w:b/>
                <w:bCs/>
                <w:sz w:val="26"/>
              </w:rPr>
            </w:pPr>
            <w:r w:rsidRPr="00742AE3">
              <w:rPr>
                <w:b/>
                <w:bCs/>
                <w:sz w:val="26"/>
              </w:rPr>
              <w:t>TELECOMMUNICATION</w:t>
            </w:r>
            <w:r w:rsidRPr="00742AE3">
              <w:rPr>
                <w:b/>
                <w:bCs/>
                <w:sz w:val="26"/>
              </w:rPr>
              <w:br/>
              <w:t>STANDARDIZATION SECTOR</w:t>
            </w:r>
          </w:p>
          <w:p w:rsidR="00742AE3" w:rsidRPr="00742AE3" w:rsidRDefault="00742AE3" w:rsidP="00742AE3">
            <w:pPr>
              <w:rPr>
                <w:smallCaps/>
                <w:sz w:val="20"/>
              </w:rPr>
            </w:pPr>
            <w:r w:rsidRPr="00742AE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742AE3" w:rsidRPr="00742AE3" w:rsidRDefault="00742AE3" w:rsidP="00742AE3">
            <w:pPr>
              <w:jc w:val="right"/>
              <w:rPr>
                <w:b/>
                <w:bCs/>
              </w:rPr>
            </w:pPr>
          </w:p>
        </w:tc>
      </w:tr>
      <w:tr w:rsidR="00742AE3" w:rsidRPr="00742AE3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742AE3" w:rsidRPr="00742AE3" w:rsidRDefault="00742AE3" w:rsidP="00742AE3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742AE3" w:rsidRPr="00742AE3" w:rsidRDefault="00742AE3" w:rsidP="00742AE3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742AE3" w:rsidRDefault="00742AE3" w:rsidP="00742AE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742AE3" w:rsidRPr="00742AE3" w:rsidRDefault="00742AE3" w:rsidP="00742AE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42AE3" w:rsidRPr="00742AE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742AE3" w:rsidRPr="00742AE3" w:rsidRDefault="00742AE3" w:rsidP="00742AE3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742AE3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742AE3" w:rsidRPr="00742AE3" w:rsidRDefault="00742AE3" w:rsidP="00742AE3">
            <w:r w:rsidRPr="00742AE3">
              <w:t>All/20</w:t>
            </w:r>
          </w:p>
        </w:tc>
        <w:tc>
          <w:tcPr>
            <w:tcW w:w="4946" w:type="dxa"/>
            <w:gridSpan w:val="4"/>
          </w:tcPr>
          <w:p w:rsidR="00742AE3" w:rsidRPr="00742AE3" w:rsidRDefault="00742AE3" w:rsidP="00742AE3">
            <w:pPr>
              <w:jc w:val="right"/>
            </w:pPr>
            <w:r w:rsidRPr="00742AE3">
              <w:t>Geneva, 19-23 October 2015</w:t>
            </w:r>
          </w:p>
        </w:tc>
      </w:tr>
      <w:tr w:rsidR="00742AE3" w:rsidRPr="00742AE3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742AE3" w:rsidRPr="00742AE3" w:rsidRDefault="00742AE3" w:rsidP="00742AE3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742AE3">
              <w:rPr>
                <w:b/>
                <w:bCs/>
              </w:rPr>
              <w:t>Ref.: TD 025 (GEN/20)</w:t>
            </w:r>
          </w:p>
        </w:tc>
      </w:tr>
      <w:tr w:rsidR="00742AE3" w:rsidRPr="00742AE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742AE3" w:rsidRPr="00742AE3" w:rsidRDefault="00742AE3" w:rsidP="00742AE3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742AE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742AE3" w:rsidRPr="00742AE3" w:rsidRDefault="00742AE3" w:rsidP="00742AE3">
            <w:r w:rsidRPr="00742AE3">
              <w:t>ITU-T SG20</w:t>
            </w:r>
          </w:p>
        </w:tc>
      </w:tr>
      <w:tr w:rsidR="00742AE3" w:rsidRPr="004A6FB6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742AE3" w:rsidRPr="00742AE3" w:rsidRDefault="00742AE3" w:rsidP="00742AE3">
            <w:pPr>
              <w:spacing w:after="120"/>
            </w:pPr>
            <w:bookmarkStart w:id="10" w:name="dtitle1" w:colFirst="1" w:colLast="1"/>
            <w:bookmarkEnd w:id="9"/>
            <w:r w:rsidRPr="00742AE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742AE3" w:rsidRPr="005D260C" w:rsidRDefault="00742AE3">
            <w:pPr>
              <w:spacing w:after="120"/>
              <w:rPr>
                <w:lang w:val="fr-CH"/>
              </w:rPr>
            </w:pPr>
            <w:proofErr w:type="spellStart"/>
            <w:r w:rsidRPr="005D260C">
              <w:rPr>
                <w:lang w:val="fr-CH"/>
              </w:rPr>
              <w:t>LS</w:t>
            </w:r>
            <w:proofErr w:type="spellEnd"/>
            <w:r w:rsidRPr="005D260C">
              <w:rPr>
                <w:lang w:val="fr-CH"/>
              </w:rPr>
              <w:t xml:space="preserve"> on new ITU-T SG20</w:t>
            </w:r>
          </w:p>
        </w:tc>
      </w:tr>
      <w:bookmarkEnd w:id="2"/>
      <w:bookmarkEnd w:id="10"/>
      <w:tr w:rsidR="00B64850" w:rsidTr="00C66FF4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B64850" w:rsidRDefault="00B64850" w:rsidP="00C66FF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64850" w:rsidTr="00C66FF4">
        <w:trPr>
          <w:cantSplit/>
          <w:trHeight w:val="357"/>
        </w:trPr>
        <w:tc>
          <w:tcPr>
            <w:tcW w:w="2184" w:type="dxa"/>
            <w:gridSpan w:val="3"/>
          </w:tcPr>
          <w:p w:rsidR="00B64850" w:rsidRPr="003869CD" w:rsidRDefault="00B64850" w:rsidP="00C66FF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B64850" w:rsidRPr="00B36AE1" w:rsidRDefault="00392BF1" w:rsidP="00C66FF4">
            <w:pPr>
              <w:pStyle w:val="LSForAction"/>
              <w:rPr>
                <w:b w:val="0"/>
                <w:bCs w:val="0"/>
              </w:rPr>
            </w:pPr>
            <w:r w:rsidRPr="00B64850">
              <w:rPr>
                <w:b w:val="0"/>
                <w:bCs w:val="0"/>
                <w:lang w:val="fr-CH" w:eastAsia="zh-CN"/>
              </w:rPr>
              <w:t>TSAG</w:t>
            </w:r>
          </w:p>
        </w:tc>
      </w:tr>
      <w:tr w:rsidR="00B64850" w:rsidTr="00C66FF4">
        <w:trPr>
          <w:cantSplit/>
          <w:trHeight w:val="357"/>
        </w:trPr>
        <w:tc>
          <w:tcPr>
            <w:tcW w:w="2184" w:type="dxa"/>
            <w:gridSpan w:val="3"/>
          </w:tcPr>
          <w:p w:rsidR="00B64850" w:rsidRPr="003869CD" w:rsidRDefault="00B64850" w:rsidP="00C66FF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B64850" w:rsidRPr="008377DC" w:rsidRDefault="00B64850" w:rsidP="00C66FF4">
            <w:pPr>
              <w:pStyle w:val="LSForCommen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B64850" w:rsidRPr="00FB10AD" w:rsidTr="00C66FF4">
        <w:trPr>
          <w:cantSplit/>
          <w:trHeight w:val="357"/>
        </w:trPr>
        <w:tc>
          <w:tcPr>
            <w:tcW w:w="2184" w:type="dxa"/>
            <w:gridSpan w:val="3"/>
          </w:tcPr>
          <w:p w:rsidR="00B64850" w:rsidRPr="003869CD" w:rsidRDefault="00B64850" w:rsidP="00C66FF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B64850" w:rsidRPr="00B64850" w:rsidRDefault="00B64850" w:rsidP="00C66FF4">
            <w:pPr>
              <w:pStyle w:val="LSForInfo"/>
              <w:rPr>
                <w:b w:val="0"/>
                <w:bCs w:val="0"/>
                <w:lang w:val="fr-CH" w:eastAsia="zh-CN"/>
              </w:rPr>
            </w:pPr>
            <w:r w:rsidRPr="00B64850">
              <w:rPr>
                <w:b w:val="0"/>
                <w:bCs w:val="0"/>
                <w:lang w:val="fr-CH" w:eastAsia="zh-CN"/>
              </w:rPr>
              <w:t xml:space="preserve">ITU-T </w:t>
            </w:r>
            <w:proofErr w:type="spellStart"/>
            <w:r w:rsidRPr="00B64850">
              <w:rPr>
                <w:b w:val="0"/>
                <w:bCs w:val="0"/>
                <w:lang w:val="fr-CH" w:eastAsia="zh-CN"/>
              </w:rPr>
              <w:t>SGs</w:t>
            </w:r>
            <w:proofErr w:type="spellEnd"/>
            <w:r w:rsidRPr="00B64850">
              <w:rPr>
                <w:b w:val="0"/>
                <w:bCs w:val="0"/>
                <w:lang w:val="fr-CH" w:eastAsia="zh-CN"/>
              </w:rPr>
              <w:t xml:space="preserve">; </w:t>
            </w:r>
            <w:proofErr w:type="spellStart"/>
            <w:r w:rsidRPr="00B64850">
              <w:rPr>
                <w:b w:val="0"/>
                <w:bCs w:val="0"/>
                <w:lang w:val="fr-CH" w:eastAsia="zh-CN"/>
              </w:rPr>
              <w:t>JCAs</w:t>
            </w:r>
            <w:proofErr w:type="spellEnd"/>
          </w:p>
        </w:tc>
      </w:tr>
      <w:tr w:rsidR="00B64850" w:rsidTr="00C66FF4">
        <w:trPr>
          <w:cantSplit/>
          <w:trHeight w:val="357"/>
        </w:trPr>
        <w:tc>
          <w:tcPr>
            <w:tcW w:w="2184" w:type="dxa"/>
            <w:gridSpan w:val="3"/>
          </w:tcPr>
          <w:p w:rsidR="00B64850" w:rsidRDefault="00B64850" w:rsidP="00C66FF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B64850" w:rsidRPr="008377DC" w:rsidRDefault="00B64850" w:rsidP="00C66FF4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>
              <w:rPr>
                <w:lang w:eastAsia="zh-CN"/>
              </w:rPr>
              <w:t>ITU-T Study Group 20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(Geneva, 23 October 2015</w:t>
            </w:r>
            <w:r w:rsidRPr="008377DC">
              <w:rPr>
                <w:lang w:eastAsia="zh-CN"/>
              </w:rPr>
              <w:t>)</w:t>
            </w:r>
          </w:p>
        </w:tc>
      </w:tr>
      <w:tr w:rsidR="00B64850" w:rsidTr="00C66FF4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B64850" w:rsidRDefault="00B64850" w:rsidP="00C66FF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B64850" w:rsidRPr="008377DC" w:rsidRDefault="00FB10AD" w:rsidP="00C66FF4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B64850" w:rsidRPr="0093772A" w:rsidTr="00C66FF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B64850" w:rsidRPr="0093772A" w:rsidRDefault="00B64850" w:rsidP="00C66FF4">
            <w:pPr>
              <w:rPr>
                <w:b/>
                <w:bCs/>
                <w:szCs w:val="24"/>
              </w:rPr>
            </w:pPr>
            <w:r w:rsidRPr="0093772A">
              <w:rPr>
                <w:b/>
                <w:bCs/>
                <w:szCs w:val="24"/>
              </w:rPr>
              <w:t>Contact:</w:t>
            </w:r>
          </w:p>
        </w:tc>
        <w:tc>
          <w:tcPr>
            <w:tcW w:w="4053" w:type="dxa"/>
            <w:gridSpan w:val="4"/>
            <w:tcBorders>
              <w:top w:val="single" w:sz="12" w:space="0" w:color="auto"/>
            </w:tcBorders>
          </w:tcPr>
          <w:p w:rsidR="00B64850" w:rsidRPr="009B7B4B" w:rsidRDefault="00B64850" w:rsidP="00C66FF4">
            <w:pPr>
              <w:rPr>
                <w:szCs w:val="24"/>
              </w:rPr>
            </w:pPr>
            <w:r w:rsidRPr="009B7B4B">
              <w:rPr>
                <w:szCs w:val="24"/>
              </w:rPr>
              <w:t>Nasser Saleh Al Marzouqi</w:t>
            </w:r>
          </w:p>
          <w:p w:rsidR="00B64850" w:rsidRPr="009A261F" w:rsidRDefault="00B64850" w:rsidP="00C66FF4">
            <w:pPr>
              <w:spacing w:before="0"/>
              <w:rPr>
                <w:sz w:val="22"/>
                <w:szCs w:val="22"/>
              </w:rPr>
            </w:pPr>
            <w:r w:rsidRPr="007E280F">
              <w:rPr>
                <w:szCs w:val="24"/>
              </w:rPr>
              <w:t>Telecommunications Regulatory Authority</w:t>
            </w:r>
            <w:r>
              <w:rPr>
                <w:szCs w:val="24"/>
              </w:rPr>
              <w:br/>
            </w:r>
            <w:r w:rsidRPr="007E280F">
              <w:rPr>
                <w:szCs w:val="24"/>
              </w:rPr>
              <w:t>United Arab Emirates</w:t>
            </w:r>
          </w:p>
        </w:tc>
        <w:tc>
          <w:tcPr>
            <w:tcW w:w="4253" w:type="dxa"/>
            <w:gridSpan w:val="3"/>
            <w:tcBorders>
              <w:top w:val="single" w:sz="12" w:space="0" w:color="auto"/>
            </w:tcBorders>
          </w:tcPr>
          <w:p w:rsidR="00B64850" w:rsidRPr="002418E5" w:rsidRDefault="00B64850" w:rsidP="00C66FF4">
            <w:pPr>
              <w:rPr>
                <w:color w:val="000000"/>
                <w:sz w:val="22"/>
                <w:szCs w:val="22"/>
                <w:lang w:val="de-CH"/>
              </w:rPr>
            </w:pPr>
            <w:r w:rsidRPr="009B7B4B">
              <w:rPr>
                <w:szCs w:val="24"/>
                <w:lang w:val="de-CH"/>
              </w:rPr>
              <w:t>Tel:</w:t>
            </w:r>
            <w:r w:rsidRPr="009B7B4B">
              <w:rPr>
                <w:szCs w:val="24"/>
                <w:lang w:val="de-CH"/>
              </w:rPr>
              <w:tab/>
              <w:t>+97 6118 468</w:t>
            </w:r>
            <w:r w:rsidRPr="009B7B4B">
              <w:rPr>
                <w:szCs w:val="24"/>
                <w:lang w:val="de-CH"/>
              </w:rPr>
              <w:br/>
              <w:t>Fax:</w:t>
            </w:r>
            <w:r w:rsidRPr="009B7B4B">
              <w:rPr>
                <w:szCs w:val="24"/>
                <w:lang w:val="de-CH"/>
              </w:rPr>
              <w:tab/>
              <w:t>+97 6118 484</w:t>
            </w:r>
            <w:r w:rsidRPr="009B7B4B">
              <w:rPr>
                <w:szCs w:val="24"/>
                <w:lang w:val="de-CH"/>
              </w:rPr>
              <w:br/>
              <w:t>Email:</w:t>
            </w:r>
            <w:r w:rsidRPr="009B7B4B">
              <w:rPr>
                <w:szCs w:val="24"/>
                <w:lang w:val="de-CH"/>
              </w:rPr>
              <w:tab/>
            </w:r>
            <w:r w:rsidR="004A6FB6">
              <w:fldChar w:fldCharType="begin"/>
            </w:r>
            <w:r w:rsidR="004A6FB6">
              <w:instrText xml:space="preserve"> HYPERLINK "mailto:nasser.almarzouqi@tra.gov.ae" </w:instrText>
            </w:r>
            <w:r w:rsidR="004A6FB6">
              <w:fldChar w:fldCharType="separate"/>
            </w:r>
            <w:r w:rsidRPr="009B7B4B">
              <w:rPr>
                <w:rStyle w:val="Hyperlink"/>
                <w:szCs w:val="24"/>
                <w:lang w:val="de-CH"/>
              </w:rPr>
              <w:t>nasser.almarzouqi@tra.gov.ae</w:t>
            </w:r>
            <w:r w:rsidR="004A6FB6">
              <w:rPr>
                <w:rStyle w:val="Hyperlink"/>
                <w:szCs w:val="24"/>
                <w:lang w:val="de-CH"/>
              </w:rPr>
              <w:fldChar w:fldCharType="end"/>
            </w:r>
          </w:p>
        </w:tc>
      </w:tr>
      <w:tr w:rsidR="00B64850" w:rsidTr="00C66FF4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B64850" w:rsidRDefault="00B64850" w:rsidP="00C66FF4">
            <w:pPr>
              <w:spacing w:before="0"/>
              <w:rPr>
                <w:sz w:val="18"/>
              </w:rPr>
            </w:pPr>
          </w:p>
        </w:tc>
      </w:tr>
    </w:tbl>
    <w:p w:rsidR="00682B2D" w:rsidRDefault="00CB4AA6" w:rsidP="003E042F">
      <w:pPr>
        <w:jc w:val="both"/>
      </w:pPr>
      <w:r>
        <w:t>The</w:t>
      </w:r>
      <w:r w:rsidR="00743D27">
        <w:t xml:space="preserve"> new ITU-T Study Group 20</w:t>
      </w:r>
      <w:r w:rsidR="00565499">
        <w:t xml:space="preserve"> on </w:t>
      </w:r>
      <w:proofErr w:type="spellStart"/>
      <w:r w:rsidR="00743D27" w:rsidRPr="00F72744">
        <w:t>IoT</w:t>
      </w:r>
      <w:proofErr w:type="spellEnd"/>
      <w:r w:rsidR="00743D27" w:rsidRPr="00F72744">
        <w:t xml:space="preserve"> and its applications including smart cities and communities</w:t>
      </w:r>
      <w:r w:rsidR="00565499">
        <w:t xml:space="preserve"> </w:t>
      </w:r>
      <w:r w:rsidR="00743D27" w:rsidRPr="00F72744">
        <w:t>(</w:t>
      </w:r>
      <w:proofErr w:type="spellStart"/>
      <w:r w:rsidR="00743D27" w:rsidRPr="00F72744">
        <w:t>SC&amp;C</w:t>
      </w:r>
      <w:proofErr w:type="spellEnd"/>
      <w:r w:rsidR="00743D27" w:rsidRPr="00F72744">
        <w:t>)</w:t>
      </w:r>
      <w:r w:rsidR="00743D27">
        <w:t xml:space="preserve"> established in June 2015</w:t>
      </w:r>
      <w:r>
        <w:t xml:space="preserve"> by TSAG, held its first meeting </w:t>
      </w:r>
      <w:r w:rsidR="00743D27">
        <w:t>from 19 to 23 Octob</w:t>
      </w:r>
      <w:r>
        <w:t xml:space="preserve">er 2015 in Geneva, Switzerland.  </w:t>
      </w:r>
    </w:p>
    <w:p w:rsidR="00FA5A9D" w:rsidRDefault="00CB4AA6">
      <w:pPr>
        <w:jc w:val="both"/>
      </w:pPr>
      <w:r>
        <w:t xml:space="preserve">During the first meeting SG20 agreed on its structure which is contained in the attached </w:t>
      </w:r>
      <w:hyperlink r:id="rId8" w:history="1">
        <w:r w:rsidRPr="005D260C">
          <w:rPr>
            <w:rStyle w:val="Hyperlink"/>
          </w:rPr>
          <w:t>TD</w:t>
        </w:r>
        <w:r w:rsidR="00742AE3" w:rsidRPr="00742AE3">
          <w:rPr>
            <w:rStyle w:val="Hyperlink"/>
          </w:rPr>
          <w:t> </w:t>
        </w:r>
        <w:r w:rsidRPr="005D260C">
          <w:rPr>
            <w:rStyle w:val="Hyperlink"/>
          </w:rPr>
          <w:t>0</w:t>
        </w:r>
        <w:r w:rsidR="00742AE3" w:rsidRPr="00742AE3">
          <w:rPr>
            <w:rStyle w:val="Hyperlink"/>
          </w:rPr>
          <w:t>0</w:t>
        </w:r>
        <w:r w:rsidRPr="005D260C">
          <w:rPr>
            <w:rStyle w:val="Hyperlink"/>
          </w:rPr>
          <w:t>3</w:t>
        </w:r>
        <w:r w:rsidR="00742AE3" w:rsidRPr="00742AE3">
          <w:rPr>
            <w:rStyle w:val="Hyperlink"/>
          </w:rPr>
          <w:t> </w:t>
        </w:r>
        <w:r w:rsidRPr="005D260C">
          <w:rPr>
            <w:rStyle w:val="Hyperlink"/>
          </w:rPr>
          <w:t>Rev.</w:t>
        </w:r>
        <w:r w:rsidR="00FB10AD">
          <w:rPr>
            <w:rStyle w:val="Hyperlink"/>
          </w:rPr>
          <w:t>5</w:t>
        </w:r>
        <w:r w:rsidR="00742AE3" w:rsidRPr="00742AE3">
          <w:rPr>
            <w:rStyle w:val="Hyperlink"/>
          </w:rPr>
          <w:t xml:space="preserve"> (GEN/20)</w:t>
        </w:r>
      </w:hyperlink>
      <w:r>
        <w:t>.</w:t>
      </w:r>
    </w:p>
    <w:p w:rsidR="00392BF1" w:rsidRDefault="004A6FB6" w:rsidP="00361892">
      <w:pPr>
        <w:jc w:val="both"/>
        <w:rPr>
          <w:lang w:eastAsia="ko-KR"/>
        </w:rPr>
      </w:pPr>
      <w:hyperlink r:id="rId9" w:history="1">
        <w:r w:rsidR="00FA5A9D" w:rsidRPr="000703A7">
          <w:rPr>
            <w:rStyle w:val="Hyperlink"/>
          </w:rPr>
          <w:t>TD</w:t>
        </w:r>
        <w:r w:rsidR="00FA5A9D" w:rsidRPr="00742AE3">
          <w:rPr>
            <w:rStyle w:val="Hyperlink"/>
          </w:rPr>
          <w:t> </w:t>
        </w:r>
        <w:r w:rsidR="00FA5A9D" w:rsidRPr="000703A7">
          <w:rPr>
            <w:rStyle w:val="Hyperlink"/>
          </w:rPr>
          <w:t>0</w:t>
        </w:r>
        <w:r w:rsidR="00FA5A9D" w:rsidRPr="00742AE3">
          <w:rPr>
            <w:rStyle w:val="Hyperlink"/>
          </w:rPr>
          <w:t>0</w:t>
        </w:r>
        <w:r w:rsidR="00FA5A9D" w:rsidRPr="000703A7">
          <w:rPr>
            <w:rStyle w:val="Hyperlink"/>
          </w:rPr>
          <w:t>3</w:t>
        </w:r>
        <w:r w:rsidR="00FA5A9D" w:rsidRPr="00742AE3">
          <w:rPr>
            <w:rStyle w:val="Hyperlink"/>
          </w:rPr>
          <w:t> </w:t>
        </w:r>
        <w:r w:rsidR="00FA5A9D" w:rsidRPr="000703A7">
          <w:rPr>
            <w:rStyle w:val="Hyperlink"/>
          </w:rPr>
          <w:t>Rev.</w:t>
        </w:r>
        <w:r w:rsidR="00FA5A9D">
          <w:rPr>
            <w:rStyle w:val="Hyperlink"/>
          </w:rPr>
          <w:t>5</w:t>
        </w:r>
        <w:r w:rsidR="00FA5A9D" w:rsidRPr="00742AE3">
          <w:rPr>
            <w:rStyle w:val="Hyperlink"/>
          </w:rPr>
          <w:t xml:space="preserve"> (GEN/20)</w:t>
        </w:r>
      </w:hyperlink>
      <w:r w:rsidR="00FA5A9D">
        <w:t xml:space="preserve"> </w:t>
      </w:r>
      <w:r w:rsidR="00565499">
        <w:t xml:space="preserve">also </w:t>
      </w:r>
      <w:r w:rsidR="00FA5A9D">
        <w:t>contains t</w:t>
      </w:r>
      <w:r w:rsidR="00392BF1">
        <w:t xml:space="preserve">he </w:t>
      </w:r>
      <w:r w:rsidR="00FA5A9D">
        <w:t>title, general areas of study (Resolution 2, Annex A) and p</w:t>
      </w:r>
      <w:r w:rsidR="00FA5A9D" w:rsidRPr="00FA5A9D">
        <w:t>o</w:t>
      </w:r>
      <w:r w:rsidR="00FA5A9D">
        <w:t xml:space="preserve">ints of guidance to SG20 </w:t>
      </w:r>
      <w:r w:rsidR="00FA5A9D" w:rsidRPr="00FA5A9D">
        <w:t>for the development of the post-2012 work programme (Resolution 2, Annex B)</w:t>
      </w:r>
      <w:r w:rsidR="00FA5A9D">
        <w:t xml:space="preserve"> as </w:t>
      </w:r>
      <w:r w:rsidR="00FA5A9D">
        <w:rPr>
          <w:lang w:eastAsia="ko-KR"/>
        </w:rPr>
        <w:t>agreed during the last TSAG meeting held in Geneva from 2 to 5 June 2015.</w:t>
      </w:r>
    </w:p>
    <w:p w:rsidR="00361892" w:rsidRDefault="00361892" w:rsidP="00361892">
      <w:pPr>
        <w:jc w:val="both"/>
      </w:pPr>
      <w:r>
        <w:rPr>
          <w:lang w:eastAsia="ko-KR"/>
        </w:rPr>
        <w:t>It should be noted that</w:t>
      </w:r>
      <w:r w:rsidR="00FA5A9D">
        <w:rPr>
          <w:lang w:eastAsia="ko-KR"/>
        </w:rPr>
        <w:t xml:space="preserve"> </w:t>
      </w:r>
      <w:r w:rsidR="00565499">
        <w:rPr>
          <w:lang w:eastAsia="ko-KR"/>
        </w:rPr>
        <w:t xml:space="preserve">during </w:t>
      </w:r>
      <w:r w:rsidR="00FA5A9D">
        <w:rPr>
          <w:lang w:eastAsia="ko-KR"/>
        </w:rPr>
        <w:t xml:space="preserve">the TSAG meeting </w:t>
      </w:r>
      <w:r>
        <w:rPr>
          <w:lang w:eastAsia="ko-KR"/>
        </w:rPr>
        <w:t xml:space="preserve">held </w:t>
      </w:r>
      <w:r w:rsidR="00FA5A9D">
        <w:rPr>
          <w:lang w:eastAsia="ko-KR"/>
        </w:rPr>
        <w:t>in June 2015</w:t>
      </w:r>
      <w:r w:rsidR="00565499">
        <w:rPr>
          <w:lang w:eastAsia="ko-KR"/>
        </w:rPr>
        <w:t xml:space="preserve">, </w:t>
      </w:r>
      <w:r w:rsidR="00FA5A9D">
        <w:rPr>
          <w:lang w:eastAsia="ko-KR"/>
        </w:rPr>
        <w:t xml:space="preserve">ITU-T Study Group 20 </w:t>
      </w:r>
      <w:r w:rsidR="00565499">
        <w:rPr>
          <w:lang w:eastAsia="ko-KR"/>
        </w:rPr>
        <w:t xml:space="preserve">was not given the designation of </w:t>
      </w:r>
      <w:r w:rsidR="00FA5A9D">
        <w:rPr>
          <w:lang w:eastAsia="ko-KR"/>
        </w:rPr>
        <w:t xml:space="preserve">the </w:t>
      </w:r>
      <w:r>
        <w:rPr>
          <w:lang w:eastAsia="ko-KR"/>
        </w:rPr>
        <w:t>l</w:t>
      </w:r>
      <w:r w:rsidRPr="00361892">
        <w:t xml:space="preserve">ead ITU-T Study Group in </w:t>
      </w:r>
      <w:r>
        <w:t>specific areas of s</w:t>
      </w:r>
      <w:r w:rsidRPr="00361892">
        <w:t>tudy</w:t>
      </w:r>
      <w:r>
        <w:t xml:space="preserve">. </w:t>
      </w:r>
    </w:p>
    <w:p w:rsidR="00361892" w:rsidRDefault="00361892" w:rsidP="00361892">
      <w:pPr>
        <w:jc w:val="both"/>
      </w:pPr>
      <w:r>
        <w:t>ITU-T Study Group 20 at its first meeting in October 2015 would like to seek the endorsement of TSAG to</w:t>
      </w:r>
      <w:r w:rsidR="00565499">
        <w:t xml:space="preserve"> </w:t>
      </w:r>
      <w:r>
        <w:t>designate SG20 as the:</w:t>
      </w:r>
    </w:p>
    <w:p w:rsidR="00361892" w:rsidRDefault="00361892" w:rsidP="005D260C">
      <w:pPr>
        <w:pStyle w:val="ListParagraph"/>
        <w:numPr>
          <w:ilvl w:val="0"/>
          <w:numId w:val="3"/>
        </w:numPr>
        <w:jc w:val="both"/>
      </w:pPr>
      <w:r w:rsidRPr="009424B2">
        <w:t>Lead study group on Internet of Things</w:t>
      </w:r>
      <w:r>
        <w:t xml:space="preserve"> (</w:t>
      </w:r>
      <w:proofErr w:type="spellStart"/>
      <w:r>
        <w:t>IoT</w:t>
      </w:r>
      <w:proofErr w:type="spellEnd"/>
      <w:r>
        <w:t>)</w:t>
      </w:r>
      <w:r w:rsidRPr="009424B2">
        <w:t xml:space="preserve"> and its applications</w:t>
      </w:r>
    </w:p>
    <w:p w:rsidR="00361892" w:rsidRDefault="00361892" w:rsidP="005D260C">
      <w:pPr>
        <w:pStyle w:val="ListParagraph"/>
        <w:numPr>
          <w:ilvl w:val="0"/>
          <w:numId w:val="3"/>
        </w:numPr>
        <w:jc w:val="both"/>
      </w:pPr>
      <w:r w:rsidRPr="00C93FC6">
        <w:t>Lead study group on</w:t>
      </w:r>
      <w:r>
        <w:t xml:space="preserve"> Smart Cities and Communities (</w:t>
      </w:r>
      <w:proofErr w:type="spellStart"/>
      <w:r>
        <w:t>SC</w:t>
      </w:r>
      <w:bookmarkStart w:id="11" w:name="_GoBack"/>
      <w:bookmarkEnd w:id="11"/>
      <w:r>
        <w:t>&amp;C</w:t>
      </w:r>
      <w:proofErr w:type="spellEnd"/>
      <w:r>
        <w:t>)</w:t>
      </w:r>
    </w:p>
    <w:p w:rsidR="003E042F" w:rsidRDefault="003E042F" w:rsidP="003E042F">
      <w:pPr>
        <w:spacing w:before="240"/>
        <w:rPr>
          <w:rFonts w:asciiTheme="majorBidi" w:hAnsiTheme="majorBidi" w:cstheme="majorBidi"/>
          <w:szCs w:val="24"/>
        </w:rPr>
      </w:pPr>
      <w:r w:rsidRPr="003E042F">
        <w:rPr>
          <w:rFonts w:asciiTheme="majorBidi" w:hAnsiTheme="majorBidi" w:cstheme="majorBidi"/>
          <w:szCs w:val="24"/>
        </w:rPr>
        <w:t>During the TSAG meeting held in June 2015, it was decided that the parent group of the JCA-IoT would be transferred to the new ITU-T SG20. SG20 agreed to revise the terms of reference of JCA</w:t>
      </w:r>
      <w:r w:rsidR="00742AE3">
        <w:rPr>
          <w:rFonts w:asciiTheme="majorBidi" w:hAnsiTheme="majorBidi" w:cstheme="majorBidi"/>
          <w:szCs w:val="24"/>
        </w:rPr>
        <w:noBreakHyphen/>
      </w:r>
      <w:r w:rsidRPr="003E042F">
        <w:rPr>
          <w:rFonts w:asciiTheme="majorBidi" w:hAnsiTheme="majorBidi" w:cstheme="majorBidi"/>
          <w:szCs w:val="24"/>
        </w:rPr>
        <w:t>IoT. The revised terms of reference of the Joint Coordination Activity on Internet of Things and Smart Cities and Communities (</w:t>
      </w:r>
      <w:r w:rsidR="004A6FB6">
        <w:rPr>
          <w:rFonts w:asciiTheme="majorBidi" w:hAnsiTheme="majorBidi" w:cstheme="majorBidi"/>
          <w:szCs w:val="24"/>
        </w:rPr>
        <w:t xml:space="preserve">JCA-IoT and </w:t>
      </w:r>
      <w:proofErr w:type="spellStart"/>
      <w:r w:rsidRPr="00FB10AD">
        <w:rPr>
          <w:rFonts w:asciiTheme="majorBidi" w:hAnsiTheme="majorBidi" w:cstheme="majorBidi"/>
          <w:szCs w:val="24"/>
        </w:rPr>
        <w:t>SC</w:t>
      </w:r>
      <w:r w:rsidR="004A6FB6">
        <w:rPr>
          <w:rFonts w:asciiTheme="majorBidi" w:hAnsiTheme="majorBidi" w:cstheme="majorBidi"/>
          <w:szCs w:val="24"/>
        </w:rPr>
        <w:t>&amp;</w:t>
      </w:r>
      <w:r w:rsidRPr="00FB10AD">
        <w:rPr>
          <w:rFonts w:asciiTheme="majorBidi" w:hAnsiTheme="majorBidi" w:cstheme="majorBidi"/>
          <w:szCs w:val="24"/>
        </w:rPr>
        <w:t>C</w:t>
      </w:r>
      <w:proofErr w:type="spellEnd"/>
      <w:r w:rsidRPr="003E042F">
        <w:rPr>
          <w:rFonts w:asciiTheme="majorBidi" w:hAnsiTheme="majorBidi" w:cstheme="majorBidi"/>
          <w:szCs w:val="24"/>
        </w:rPr>
        <w:t xml:space="preserve">) are contained in the attached </w:t>
      </w:r>
      <w:hyperlink r:id="rId10" w:history="1">
        <w:r w:rsidRPr="00742AE3">
          <w:rPr>
            <w:rStyle w:val="Hyperlink"/>
            <w:rFonts w:asciiTheme="majorBidi" w:hAnsiTheme="majorBidi" w:cstheme="majorBidi"/>
            <w:szCs w:val="24"/>
          </w:rPr>
          <w:t>TD</w:t>
        </w:r>
        <w:r w:rsidR="00742AE3" w:rsidRPr="00742AE3">
          <w:rPr>
            <w:rStyle w:val="Hyperlink"/>
            <w:rFonts w:asciiTheme="majorBidi" w:hAnsiTheme="majorBidi" w:cstheme="majorBidi"/>
            <w:szCs w:val="24"/>
          </w:rPr>
          <w:t xml:space="preserve"> 0</w:t>
        </w:r>
        <w:r w:rsidRPr="00742AE3">
          <w:rPr>
            <w:rStyle w:val="Hyperlink"/>
            <w:rFonts w:asciiTheme="majorBidi" w:hAnsiTheme="majorBidi" w:cstheme="majorBidi"/>
            <w:szCs w:val="24"/>
          </w:rPr>
          <w:t>24 Rev</w:t>
        </w:r>
        <w:r w:rsidR="00742AE3" w:rsidRPr="00742AE3">
          <w:rPr>
            <w:rStyle w:val="Hyperlink"/>
            <w:rFonts w:asciiTheme="majorBidi" w:hAnsiTheme="majorBidi" w:cstheme="majorBidi"/>
            <w:szCs w:val="24"/>
          </w:rPr>
          <w:t>.</w:t>
        </w:r>
        <w:r w:rsidRPr="00742AE3">
          <w:rPr>
            <w:rStyle w:val="Hyperlink"/>
            <w:rFonts w:asciiTheme="majorBidi" w:hAnsiTheme="majorBidi" w:cstheme="majorBidi"/>
            <w:szCs w:val="24"/>
          </w:rPr>
          <w:t>2</w:t>
        </w:r>
        <w:r w:rsidR="00742AE3" w:rsidRPr="00742AE3">
          <w:rPr>
            <w:rStyle w:val="Hyperlink"/>
            <w:rFonts w:asciiTheme="majorBidi" w:hAnsiTheme="majorBidi" w:cstheme="majorBidi"/>
            <w:szCs w:val="24"/>
          </w:rPr>
          <w:t xml:space="preserve"> (GEN/20)</w:t>
        </w:r>
      </w:hyperlink>
      <w:r w:rsidRPr="003E042F">
        <w:rPr>
          <w:rFonts w:asciiTheme="majorBidi" w:hAnsiTheme="majorBidi" w:cstheme="majorBidi"/>
          <w:szCs w:val="24"/>
        </w:rPr>
        <w:t xml:space="preserve">. </w:t>
      </w:r>
    </w:p>
    <w:p w:rsidR="009871C7" w:rsidRPr="003E042F" w:rsidRDefault="009871C7" w:rsidP="009871C7">
      <w:pPr>
        <w:spacing w:before="240"/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  <w:lang w:val="en-US"/>
        </w:rPr>
        <w:lastRenderedPageBreak/>
        <w:t>Please be informed that t</w:t>
      </w:r>
      <w:r w:rsidRPr="009871C7">
        <w:rPr>
          <w:rFonts w:asciiTheme="majorBidi" w:hAnsiTheme="majorBidi" w:cstheme="majorBidi"/>
          <w:szCs w:val="24"/>
          <w:lang w:val="en-US"/>
        </w:rPr>
        <w:t>he Global Standards Initiative on Internet of Things (IoT-GSI) concluded its activities in July 2015 following TSAG decision to establish the new Study Group 20 on "</w:t>
      </w:r>
      <w:proofErr w:type="spellStart"/>
      <w:r w:rsidRPr="009871C7">
        <w:rPr>
          <w:rFonts w:asciiTheme="majorBidi" w:hAnsiTheme="majorBidi" w:cstheme="majorBidi"/>
          <w:szCs w:val="24"/>
          <w:lang w:val="en-US"/>
        </w:rPr>
        <w:t>IoT</w:t>
      </w:r>
      <w:proofErr w:type="spellEnd"/>
      <w:r w:rsidRPr="009871C7">
        <w:rPr>
          <w:rFonts w:asciiTheme="majorBidi" w:hAnsiTheme="majorBidi" w:cstheme="majorBidi"/>
          <w:szCs w:val="24"/>
          <w:lang w:val="en-US"/>
        </w:rPr>
        <w:t xml:space="preserve"> and its applications including smart cities and communities". All activities ongoing in the IoT-GSI were transferred to the SG20.</w:t>
      </w:r>
    </w:p>
    <w:p w:rsidR="00743D27" w:rsidRDefault="00743D27" w:rsidP="00BD58DC">
      <w:r>
        <w:t xml:space="preserve">For additional information on SG20 structure, management team and ongoing work, please see: </w:t>
      </w:r>
      <w:hyperlink r:id="rId11" w:history="1">
        <w:r w:rsidRPr="000E5C8A">
          <w:rPr>
            <w:rStyle w:val="Hyperlink"/>
          </w:rPr>
          <w:t>www.itu.int/en/ITU-T/studygroups/2013-2016/20/Pages/default.aspx</w:t>
        </w:r>
      </w:hyperlink>
      <w:r>
        <w:t xml:space="preserve"> </w:t>
      </w:r>
    </w:p>
    <w:p w:rsidR="00743D27" w:rsidRDefault="00743D27" w:rsidP="003E042F">
      <w:pPr>
        <w:jc w:val="both"/>
      </w:pPr>
      <w:r>
        <w:t xml:space="preserve">ITU-T SG20 looks forward to cooperating with </w:t>
      </w:r>
      <w:r w:rsidR="003E042F">
        <w:t>TSAG</w:t>
      </w:r>
      <w:r>
        <w:t xml:space="preserve">. </w:t>
      </w:r>
    </w:p>
    <w:p w:rsidR="005D260C" w:rsidRDefault="005D260C" w:rsidP="003E042F">
      <w:pPr>
        <w:jc w:val="both"/>
      </w:pPr>
    </w:p>
    <w:p w:rsidR="00742AE3" w:rsidRDefault="00742AE3">
      <w:pPr>
        <w:jc w:val="both"/>
      </w:pPr>
      <w:r>
        <w:t>Attachment</w:t>
      </w:r>
      <w:r w:rsidR="00FB10AD">
        <w:t xml:space="preserve">: </w:t>
      </w:r>
    </w:p>
    <w:p w:rsidR="00742AE3" w:rsidRDefault="00742AE3">
      <w:pPr>
        <w:jc w:val="both"/>
      </w:pPr>
      <w:r>
        <w:t xml:space="preserve">- </w:t>
      </w:r>
      <w:hyperlink r:id="rId12" w:history="1">
        <w:r w:rsidRPr="00BD58DC">
          <w:rPr>
            <w:rStyle w:val="Hyperlink"/>
          </w:rPr>
          <w:t>TD 003</w:t>
        </w:r>
        <w:r w:rsidR="00FB10AD" w:rsidRPr="00BD58DC">
          <w:rPr>
            <w:rStyle w:val="Hyperlink"/>
          </w:rPr>
          <w:t xml:space="preserve"> Rev.5 (GEN/20</w:t>
        </w:r>
        <w:r w:rsidRPr="00BD58DC">
          <w:rPr>
            <w:rStyle w:val="Hyperlink"/>
          </w:rPr>
          <w:t>)</w:t>
        </w:r>
      </w:hyperlink>
      <w:r>
        <w:t xml:space="preserve"> </w:t>
      </w:r>
      <w:r w:rsidR="00FB10AD">
        <w:t>“</w:t>
      </w:r>
      <w:r w:rsidR="00FB10AD" w:rsidRPr="00B6233F">
        <w:t>Proposed structure for ITU-T SG20</w:t>
      </w:r>
      <w:r w:rsidR="00FB10AD">
        <w:t xml:space="preserve"> (TD posted after SG20 plenary)”</w:t>
      </w:r>
    </w:p>
    <w:p w:rsidR="0084789A" w:rsidRDefault="00B64850" w:rsidP="00B64850">
      <w:pPr>
        <w:jc w:val="center"/>
      </w:pPr>
      <w:r>
        <w:t>_________________</w:t>
      </w:r>
    </w:p>
    <w:sectPr w:rsidR="0084789A" w:rsidSect="00742AE3">
      <w:headerReference w:type="default" r:id="rId13"/>
      <w:footerReference w:type="first" r:id="rId1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C9D" w:rsidRDefault="00606C9D" w:rsidP="00B64850">
      <w:pPr>
        <w:spacing w:before="0"/>
      </w:pPr>
      <w:r>
        <w:separator/>
      </w:r>
    </w:p>
  </w:endnote>
  <w:endnote w:type="continuationSeparator" w:id="0">
    <w:p w:rsidR="00606C9D" w:rsidRDefault="00606C9D" w:rsidP="00B648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742AE3" w:rsidRPr="00742AE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742AE3" w:rsidRPr="00742AE3" w:rsidRDefault="00742AE3" w:rsidP="00742AE3">
          <w:pPr>
            <w:spacing w:before="0"/>
            <w:rPr>
              <w:sz w:val="18"/>
            </w:rPr>
          </w:pPr>
          <w:r w:rsidRPr="00742AE3">
            <w:rPr>
              <w:b/>
              <w:bCs/>
              <w:sz w:val="18"/>
            </w:rPr>
            <w:t>Attention:</w:t>
          </w:r>
          <w:r w:rsidRPr="00742AE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742AE3" w:rsidRPr="00742AE3" w:rsidRDefault="00742AE3" w:rsidP="00742AE3">
          <w:pPr>
            <w:spacing w:before="0"/>
            <w:rPr>
              <w:sz w:val="18"/>
            </w:rPr>
          </w:pPr>
          <w:r w:rsidRPr="00742AE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742AE3" w:rsidRPr="00742AE3" w:rsidRDefault="00742AE3" w:rsidP="00742AE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C9D" w:rsidRDefault="00606C9D" w:rsidP="00B64850">
      <w:pPr>
        <w:spacing w:before="0"/>
      </w:pPr>
      <w:r>
        <w:separator/>
      </w:r>
    </w:p>
  </w:footnote>
  <w:footnote w:type="continuationSeparator" w:id="0">
    <w:p w:rsidR="00606C9D" w:rsidRDefault="00606C9D" w:rsidP="00B6485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80C" w:rsidRPr="00742AE3" w:rsidRDefault="00742AE3" w:rsidP="00742AE3">
    <w:pPr>
      <w:pStyle w:val="Header"/>
      <w:jc w:val="center"/>
      <w:rPr>
        <w:sz w:val="18"/>
      </w:rPr>
    </w:pPr>
    <w:r w:rsidRPr="00742AE3">
      <w:rPr>
        <w:sz w:val="18"/>
      </w:rPr>
      <w:t xml:space="preserve">- </w:t>
    </w:r>
    <w:r w:rsidRPr="00742AE3">
      <w:rPr>
        <w:sz w:val="18"/>
      </w:rPr>
      <w:fldChar w:fldCharType="begin"/>
    </w:r>
    <w:r w:rsidRPr="00742AE3">
      <w:rPr>
        <w:sz w:val="18"/>
      </w:rPr>
      <w:instrText xml:space="preserve"> PAGE  \* MERGEFORMAT </w:instrText>
    </w:r>
    <w:r w:rsidRPr="00742AE3">
      <w:rPr>
        <w:sz w:val="18"/>
      </w:rPr>
      <w:fldChar w:fldCharType="separate"/>
    </w:r>
    <w:r w:rsidR="004A6FB6">
      <w:rPr>
        <w:noProof/>
        <w:sz w:val="18"/>
      </w:rPr>
      <w:t>2</w:t>
    </w:r>
    <w:r w:rsidRPr="00742AE3">
      <w:rPr>
        <w:sz w:val="18"/>
      </w:rPr>
      <w:fldChar w:fldCharType="end"/>
    </w:r>
    <w:r w:rsidRPr="00742AE3">
      <w:rPr>
        <w:sz w:val="18"/>
      </w:rPr>
      <w:t xml:space="preserve"> -</w:t>
    </w:r>
  </w:p>
  <w:p w:rsidR="00742AE3" w:rsidRPr="00742AE3" w:rsidRDefault="00742AE3" w:rsidP="00742AE3">
    <w:pPr>
      <w:pStyle w:val="Header"/>
      <w:spacing w:after="240"/>
      <w:jc w:val="center"/>
      <w:rPr>
        <w:sz w:val="18"/>
      </w:rPr>
    </w:pPr>
    <w:r w:rsidRPr="00742AE3">
      <w:rPr>
        <w:sz w:val="18"/>
      </w:rPr>
      <w:fldChar w:fldCharType="begin"/>
    </w:r>
    <w:r w:rsidRPr="00742AE3">
      <w:rPr>
        <w:sz w:val="18"/>
      </w:rPr>
      <w:instrText xml:space="preserve"> STYLEREF  Docnumber  </w:instrText>
    </w:r>
    <w:r w:rsidRPr="00742AE3">
      <w:rPr>
        <w:sz w:val="18"/>
      </w:rPr>
      <w:fldChar w:fldCharType="separate"/>
    </w:r>
    <w:r w:rsidR="004A6FB6">
      <w:rPr>
        <w:noProof/>
        <w:sz w:val="18"/>
      </w:rPr>
      <w:t>COM 20 – LS 009 – E</w:t>
    </w:r>
    <w:r w:rsidRPr="00742AE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A4907"/>
    <w:multiLevelType w:val="hybridMultilevel"/>
    <w:tmpl w:val="9EDA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183505"/>
    <w:multiLevelType w:val="hybridMultilevel"/>
    <w:tmpl w:val="7B12F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626EF"/>
    <w:multiLevelType w:val="hybridMultilevel"/>
    <w:tmpl w:val="22D47D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D27"/>
    <w:rsid w:val="001C59D9"/>
    <w:rsid w:val="001C5FAD"/>
    <w:rsid w:val="002273F3"/>
    <w:rsid w:val="00333561"/>
    <w:rsid w:val="00361892"/>
    <w:rsid w:val="00392BF1"/>
    <w:rsid w:val="003E042F"/>
    <w:rsid w:val="004A6FB6"/>
    <w:rsid w:val="00565499"/>
    <w:rsid w:val="005D260C"/>
    <w:rsid w:val="00606C9D"/>
    <w:rsid w:val="00682B2D"/>
    <w:rsid w:val="00706099"/>
    <w:rsid w:val="00742AE3"/>
    <w:rsid w:val="00743D27"/>
    <w:rsid w:val="0084789A"/>
    <w:rsid w:val="00976EF4"/>
    <w:rsid w:val="009871C7"/>
    <w:rsid w:val="009C430C"/>
    <w:rsid w:val="00B64850"/>
    <w:rsid w:val="00BD58DC"/>
    <w:rsid w:val="00CB4AA6"/>
    <w:rsid w:val="00CC480C"/>
    <w:rsid w:val="00CD4234"/>
    <w:rsid w:val="00FA5A9D"/>
    <w:rsid w:val="00FB10AD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4B95A447-D4F3-4A62-BD77-12D19BE9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D2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43D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4AA6"/>
    <w:pPr>
      <w:ind w:left="720"/>
      <w:contextualSpacing/>
    </w:pPr>
  </w:style>
  <w:style w:type="paragraph" w:customStyle="1" w:styleId="LSDeadline">
    <w:name w:val="LSDeadline"/>
    <w:basedOn w:val="Normal"/>
    <w:rsid w:val="00B64850"/>
    <w:rPr>
      <w:b/>
      <w:bCs/>
    </w:rPr>
  </w:style>
  <w:style w:type="paragraph" w:customStyle="1" w:styleId="LSForAction">
    <w:name w:val="LSForAction"/>
    <w:basedOn w:val="Normal"/>
    <w:rsid w:val="00B64850"/>
    <w:rPr>
      <w:b/>
      <w:bCs/>
    </w:rPr>
  </w:style>
  <w:style w:type="paragraph" w:customStyle="1" w:styleId="LSForInfo">
    <w:name w:val="LSForInfo"/>
    <w:basedOn w:val="LSForAction"/>
    <w:rsid w:val="00B64850"/>
  </w:style>
  <w:style w:type="paragraph" w:customStyle="1" w:styleId="LSForComment">
    <w:name w:val="LSForComment"/>
    <w:basedOn w:val="LSForAction"/>
    <w:rsid w:val="00B64850"/>
  </w:style>
  <w:style w:type="paragraph" w:customStyle="1" w:styleId="Docnumber">
    <w:name w:val="Docnumber"/>
    <w:basedOn w:val="Normal"/>
    <w:link w:val="DocnumberChar"/>
    <w:rsid w:val="00B64850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B64850"/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64850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64850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4850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64850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B10A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BF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BF1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T13-SG20-151019-TD-GEN-0003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T13-SG20-151019-TD-GEN-0003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en/ITU-T/studygroups/2013-2016/20/Pages/default.asp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T13-SG20-151019-TD-GEN-0024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T13-SG20-151019-TD-GEN-0003/e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new ITU-T SG20 [to TSAG; ITU-T SGs; JCAs]</vt:lpstr>
    </vt:vector>
  </TitlesOfParts>
  <Manager>ITU-T</Manager>
  <Company>International Telecommunication Union (ITU)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SG20</dc:title>
  <dc:subject/>
  <dc:creator>ITU-T SG20</dc:creator>
  <cp:keywords>All/20</cp:keywords>
  <dc:description>TELECOMMUNICATION STANDARDIZATION SECTOR STUDY PERIOD 2013-2016  For: Geneva, 19-23 October 2015_x000d_Document date: _x000d_Saved by ITU51010703 at 15:50:13 on 20/11/2015</dc:description>
  <cp:lastModifiedBy>Norton Viard, Emma</cp:lastModifiedBy>
  <cp:revision>6</cp:revision>
  <dcterms:created xsi:type="dcterms:W3CDTF">2015-11-20T00:07:00Z</dcterms:created>
  <dcterms:modified xsi:type="dcterms:W3CDTF">2015-11-20T15:06:00Z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All/20</vt:lpwstr>
  </property>
  <property fmtid="{D5CDD505-2E9C-101B-9397-08002B2CF9AE}" pid="6" name="Docdest">
    <vt:lpwstr>Geneva, 19-23 October 2015</vt:lpwstr>
  </property>
  <property fmtid="{D5CDD505-2E9C-101B-9397-08002B2CF9AE}" pid="7" name="Docauthor">
    <vt:lpwstr>ITU-T SG20</vt:lpwstr>
  </property>
</Properties>
</file>